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764A2E">
        <w:rPr>
          <w:rFonts w:ascii="Times New Roman" w:hAnsi="Times New Roman"/>
          <w:b/>
          <w:sz w:val="28"/>
          <w:szCs w:val="28"/>
        </w:rPr>
        <w:t xml:space="preserve">Демографическое развитие муниципального образования Руднянский район Смоленской области»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</w:t>
      </w:r>
      <w:r w:rsidR="00C059A0" w:rsidRPr="00C059A0">
        <w:rPr>
          <w:b/>
          <w:szCs w:val="28"/>
        </w:rPr>
        <w:t>1</w:t>
      </w:r>
      <w:r w:rsidRPr="00C4685B">
        <w:rPr>
          <w:b/>
          <w:szCs w:val="28"/>
        </w:rPr>
        <w:t xml:space="preserve"> 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>
        <w:rPr>
          <w:b/>
          <w:szCs w:val="28"/>
          <w:lang w:val="en-US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>/</w:t>
      </w:r>
      <w:r w:rsidR="00C904A0">
        <w:rPr>
          <w:szCs w:val="28"/>
        </w:rPr>
        <w:t>3000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>/</w:t>
      </w:r>
      <w:r w:rsidR="00C904A0">
        <w:rPr>
          <w:rFonts w:ascii="Times New Roman" w:hAnsi="Times New Roman"/>
        </w:rPr>
        <w:t>3000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/</w:t>
      </w:r>
      <w:r w:rsidR="00C904A0">
        <w:rPr>
          <w:szCs w:val="28"/>
        </w:rPr>
        <w:t>3000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64F8E">
        <w:rPr>
          <w:szCs w:val="28"/>
        </w:rPr>
        <w:t>3000</w:t>
      </w:r>
      <w:r w:rsidRPr="00F57AED">
        <w:rPr>
          <w:szCs w:val="28"/>
        </w:rPr>
        <w:t>/</w:t>
      </w:r>
      <w:r w:rsidR="00664F8E">
        <w:rPr>
          <w:szCs w:val="28"/>
        </w:rPr>
        <w:t>3000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3</cp:revision>
  <cp:lastPrinted>2017-03-30T12:01:00Z</cp:lastPrinted>
  <dcterms:created xsi:type="dcterms:W3CDTF">2022-02-28T12:27:00Z</dcterms:created>
  <dcterms:modified xsi:type="dcterms:W3CDTF">2022-02-28T12:29:00Z</dcterms:modified>
</cp:coreProperties>
</file>